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99" w:rsidRDefault="00E01C99" w:rsidP="00E01C99">
      <w:pPr>
        <w:pStyle w:val="Default"/>
        <w:jc w:val="center"/>
        <w:rPr>
          <w:rFonts w:ascii="Garamond" w:hAnsi="Garamond"/>
          <w:sz w:val="32"/>
          <w:szCs w:val="32"/>
        </w:rPr>
      </w:pPr>
      <w:r w:rsidRPr="005F73BD">
        <w:rPr>
          <w:noProof/>
          <w:lang w:eastAsia="fr-FR"/>
        </w:rPr>
        <w:drawing>
          <wp:inline distT="0" distB="0" distL="0" distR="0" wp14:anchorId="740C33C6" wp14:editId="132B2F3D">
            <wp:extent cx="2009775" cy="971391"/>
            <wp:effectExtent l="0" t="0" r="0" b="635"/>
            <wp:docPr id="1" name="Image 1" descr="C:\08-Académie\images\1-logo_academie-105-x-50-marron-sans-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8-Académie\images\1-logo_academie-105-x-50-marron-sans-d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04" cy="9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99" w:rsidRPr="0014562D" w:rsidRDefault="00E01C99" w:rsidP="00E01C99">
      <w:pPr>
        <w:pStyle w:val="Default"/>
        <w:jc w:val="center"/>
        <w:rPr>
          <w:i/>
          <w:sz w:val="32"/>
          <w:szCs w:val="32"/>
        </w:rPr>
      </w:pPr>
      <w:r w:rsidRPr="0014562D">
        <w:rPr>
          <w:rFonts w:ascii="Garamond" w:hAnsi="Garamond"/>
          <w:i/>
          <w:sz w:val="32"/>
          <w:szCs w:val="32"/>
        </w:rPr>
        <w:t>5 rue Antoine Petit</w:t>
      </w:r>
      <w:r>
        <w:rPr>
          <w:rFonts w:ascii="Garamond" w:hAnsi="Garamond"/>
          <w:i/>
          <w:sz w:val="32"/>
          <w:szCs w:val="32"/>
        </w:rPr>
        <w:t>,</w:t>
      </w:r>
      <w:r w:rsidRPr="0014562D">
        <w:rPr>
          <w:rFonts w:ascii="Garamond" w:hAnsi="Garamond"/>
          <w:i/>
          <w:sz w:val="32"/>
          <w:szCs w:val="32"/>
        </w:rPr>
        <w:t xml:space="preserve"> Orléans</w:t>
      </w:r>
    </w:p>
    <w:p w:rsidR="00E01C99" w:rsidRDefault="00E01C99" w:rsidP="00E01C99">
      <w:pPr>
        <w:pStyle w:val="Default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783256">
        <w:rPr>
          <w:rFonts w:ascii="Garamond" w:hAnsi="Garamond"/>
          <w:b/>
          <w:color w:val="FF0000"/>
          <w:sz w:val="28"/>
          <w:szCs w:val="28"/>
        </w:rPr>
        <w:t xml:space="preserve">Jeudi </w:t>
      </w:r>
      <w:r>
        <w:rPr>
          <w:rFonts w:ascii="Garamond" w:hAnsi="Garamond"/>
          <w:b/>
          <w:color w:val="FF0000"/>
          <w:sz w:val="28"/>
          <w:szCs w:val="28"/>
        </w:rPr>
        <w:t xml:space="preserve">7 novembre à </w:t>
      </w:r>
      <w:r w:rsidRPr="00783256">
        <w:rPr>
          <w:rFonts w:ascii="Garamond" w:hAnsi="Garamond"/>
          <w:b/>
          <w:color w:val="FF0000"/>
          <w:sz w:val="28"/>
          <w:szCs w:val="28"/>
        </w:rPr>
        <w:t xml:space="preserve"> 17 h 30</w:t>
      </w:r>
    </w:p>
    <w:p w:rsidR="00E01C99" w:rsidRDefault="00E01C99" w:rsidP="002D4C4C">
      <w:pPr>
        <w:jc w:val="center"/>
        <w:rPr>
          <w:rFonts w:ascii="Garamond" w:hAnsi="Garamond" w:cs="Calibri,Bold"/>
          <w:b/>
          <w:bCs/>
          <w:sz w:val="48"/>
          <w:szCs w:val="48"/>
        </w:rPr>
      </w:pPr>
    </w:p>
    <w:p w:rsidR="002D4C4C" w:rsidRPr="00E01C99" w:rsidRDefault="002D4C4C" w:rsidP="002D4C4C">
      <w:pPr>
        <w:jc w:val="center"/>
        <w:rPr>
          <w:rFonts w:ascii="Garamond" w:hAnsi="Garamond" w:cs="Calibri,Bold"/>
          <w:b/>
          <w:bCs/>
          <w:color w:val="00B050"/>
          <w:sz w:val="48"/>
          <w:szCs w:val="48"/>
        </w:rPr>
      </w:pPr>
      <w:r w:rsidRPr="00E01C99">
        <w:rPr>
          <w:rFonts w:ascii="Garamond" w:hAnsi="Garamond" w:cs="Calibri,Bold"/>
          <w:b/>
          <w:bCs/>
          <w:color w:val="00B050"/>
          <w:sz w:val="48"/>
          <w:szCs w:val="48"/>
        </w:rPr>
        <w:t>L'économie cynégétique solognote :</w:t>
      </w:r>
    </w:p>
    <w:p w:rsidR="002D4C4C" w:rsidRPr="00E01C99" w:rsidRDefault="002D4C4C" w:rsidP="002D4C4C">
      <w:pPr>
        <w:jc w:val="center"/>
        <w:rPr>
          <w:rFonts w:ascii="Garamond" w:hAnsi="Garamond" w:cs="Calibri,Bold"/>
          <w:b/>
          <w:bCs/>
          <w:color w:val="00B050"/>
          <w:sz w:val="48"/>
          <w:szCs w:val="48"/>
        </w:rPr>
      </w:pPr>
      <w:proofErr w:type="gramStart"/>
      <w:r w:rsidRPr="00E01C99">
        <w:rPr>
          <w:rFonts w:ascii="Garamond" w:hAnsi="Garamond" w:cs="Calibri,Bold"/>
          <w:b/>
          <w:bCs/>
          <w:color w:val="00B050"/>
          <w:sz w:val="48"/>
          <w:szCs w:val="48"/>
        </w:rPr>
        <w:t>du</w:t>
      </w:r>
      <w:proofErr w:type="gramEnd"/>
      <w:r w:rsidRPr="00E01C99">
        <w:rPr>
          <w:rFonts w:ascii="Garamond" w:hAnsi="Garamond" w:cs="Calibri,Bold"/>
          <w:b/>
          <w:bCs/>
          <w:color w:val="00B050"/>
          <w:sz w:val="48"/>
          <w:szCs w:val="48"/>
        </w:rPr>
        <w:t xml:space="preserve"> 1</w:t>
      </w:r>
      <w:r w:rsidRPr="00E01C99">
        <w:rPr>
          <w:rFonts w:ascii="Garamond" w:hAnsi="Garamond" w:cs="Calibri,Bold"/>
          <w:b/>
          <w:bCs/>
          <w:color w:val="00B050"/>
          <w:sz w:val="48"/>
          <w:szCs w:val="48"/>
          <w:vertAlign w:val="superscript"/>
        </w:rPr>
        <w:t>er</w:t>
      </w:r>
      <w:r w:rsidRPr="00E01C99">
        <w:rPr>
          <w:rFonts w:ascii="Garamond" w:hAnsi="Garamond" w:cs="Calibri,Bold"/>
          <w:b/>
          <w:bCs/>
          <w:color w:val="00B050"/>
          <w:sz w:val="48"/>
          <w:szCs w:val="48"/>
        </w:rPr>
        <w:t xml:space="preserve"> âge au 4</w:t>
      </w:r>
      <w:r w:rsidRPr="00E01C99">
        <w:rPr>
          <w:rFonts w:ascii="Garamond" w:hAnsi="Garamond" w:cs="Calibri,Bold"/>
          <w:b/>
          <w:bCs/>
          <w:color w:val="00B050"/>
          <w:sz w:val="48"/>
          <w:szCs w:val="48"/>
          <w:vertAlign w:val="superscript"/>
        </w:rPr>
        <w:t>e</w:t>
      </w:r>
      <w:r w:rsidRPr="00E01C99">
        <w:rPr>
          <w:rFonts w:ascii="Garamond" w:hAnsi="Garamond" w:cs="Calibri,Bold"/>
          <w:b/>
          <w:bCs/>
          <w:color w:val="00B050"/>
          <w:sz w:val="48"/>
          <w:szCs w:val="48"/>
        </w:rPr>
        <w:t xml:space="preserve"> âge</w:t>
      </w:r>
    </w:p>
    <w:p w:rsidR="002D4C4C" w:rsidRPr="002D4C4C" w:rsidRDefault="002D4C4C" w:rsidP="002D4C4C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2D4C4C">
        <w:rPr>
          <w:rFonts w:ascii="Garamond" w:hAnsi="Garamond" w:cs="Times New Roman"/>
          <w:b/>
          <w:sz w:val="36"/>
          <w:szCs w:val="36"/>
        </w:rPr>
        <w:t xml:space="preserve"> </w:t>
      </w:r>
      <w:r w:rsidRPr="00E01C99">
        <w:rPr>
          <w:rFonts w:ascii="Garamond" w:hAnsi="Garamond" w:cs="Times New Roman"/>
          <w:b/>
          <w:color w:val="0070C0"/>
          <w:sz w:val="36"/>
          <w:szCs w:val="36"/>
        </w:rPr>
        <w:t xml:space="preserve">Joël </w:t>
      </w:r>
      <w:proofErr w:type="spellStart"/>
      <w:r w:rsidRPr="00E01C99">
        <w:rPr>
          <w:rFonts w:ascii="Garamond" w:hAnsi="Garamond" w:cs="Times New Roman"/>
          <w:b/>
          <w:color w:val="0070C0"/>
          <w:sz w:val="36"/>
          <w:szCs w:val="36"/>
        </w:rPr>
        <w:t>Mirloup</w:t>
      </w:r>
      <w:proofErr w:type="spellEnd"/>
    </w:p>
    <w:p w:rsidR="002D4C4C" w:rsidRPr="002D4C4C" w:rsidRDefault="002D4C4C" w:rsidP="002D4C4C">
      <w:pPr>
        <w:jc w:val="center"/>
        <w:rPr>
          <w:rFonts w:ascii="Garamond" w:hAnsi="Garamond" w:cs="Calibri,Bold"/>
          <w:b/>
          <w:bCs/>
          <w:sz w:val="36"/>
          <w:szCs w:val="36"/>
        </w:rPr>
      </w:pPr>
    </w:p>
    <w:p w:rsidR="002D4C4C" w:rsidRDefault="002D4C4C" w:rsidP="002D4C4C">
      <w:pPr>
        <w:ind w:firstLine="284"/>
        <w:jc w:val="both"/>
        <w:rPr>
          <w:rFonts w:ascii="Garamond" w:hAnsi="Garamond" w:cs="Times New Roman"/>
          <w:sz w:val="28"/>
          <w:szCs w:val="28"/>
        </w:rPr>
      </w:pPr>
      <w:r w:rsidRPr="002D4C4C">
        <w:rPr>
          <w:rFonts w:ascii="Garamond" w:hAnsi="Garamond" w:cs="Times New Roman"/>
          <w:sz w:val="28"/>
          <w:szCs w:val="28"/>
        </w:rPr>
        <w:t>Cette communication rend compte d'un travail de recherche en géographie économique,</w:t>
      </w:r>
      <w:r w:rsidR="00E01C99">
        <w:rPr>
          <w:rFonts w:ascii="Garamond" w:hAnsi="Garamond" w:cs="Times New Roman"/>
          <w:sz w:val="28"/>
          <w:szCs w:val="28"/>
        </w:rPr>
        <w:t xml:space="preserve"> </w:t>
      </w:r>
      <w:bookmarkStart w:id="0" w:name="_GoBack"/>
      <w:bookmarkEnd w:id="0"/>
      <w:r w:rsidRPr="002D4C4C">
        <w:rPr>
          <w:rFonts w:ascii="Garamond" w:hAnsi="Garamond" w:cs="Times New Roman"/>
          <w:sz w:val="28"/>
          <w:szCs w:val="28"/>
        </w:rPr>
        <w:t>foncière et financière que j'ai mené principalement en 1967. La "chasse en Sologne" n'avait alors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donné lieu qu'à des travaux d'ordre ethnologique ou portant sur le sport cynégétique.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La thèse première fut l'identification de trois âges dans l'évolution de cette "Economie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 xml:space="preserve">cynégétique", concept et expression forgés par l'auteur. </w:t>
      </w:r>
    </w:p>
    <w:p w:rsidR="002D4C4C" w:rsidRDefault="002D4C4C" w:rsidP="002D4C4C">
      <w:pPr>
        <w:ind w:firstLine="284"/>
        <w:jc w:val="both"/>
        <w:rPr>
          <w:rFonts w:ascii="Garamond" w:hAnsi="Garamond" w:cs="Times New Roman"/>
          <w:sz w:val="28"/>
          <w:szCs w:val="28"/>
        </w:rPr>
      </w:pPr>
      <w:r w:rsidRPr="002D4C4C">
        <w:rPr>
          <w:rFonts w:ascii="Garamond" w:hAnsi="Garamond" w:cs="Times New Roman"/>
          <w:sz w:val="28"/>
          <w:szCs w:val="28"/>
        </w:rPr>
        <w:t>L'allusion anthropologique fut volontaire, avec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un premier âge d'émergence, du milieu du XIX</w:t>
      </w:r>
      <w:r w:rsidRPr="002D4C4C">
        <w:rPr>
          <w:rFonts w:ascii="Garamond" w:hAnsi="Garamond" w:cs="Times New Roman"/>
          <w:sz w:val="28"/>
          <w:szCs w:val="28"/>
          <w:vertAlign w:val="superscript"/>
        </w:rPr>
        <w:t>e</w:t>
      </w:r>
      <w:r w:rsidRPr="002D4C4C">
        <w:rPr>
          <w:rFonts w:ascii="Garamond" w:hAnsi="Garamond" w:cs="Times New Roman"/>
          <w:sz w:val="28"/>
          <w:szCs w:val="28"/>
        </w:rPr>
        <w:t xml:space="preserve"> siècle à 1914; un deuxième âge de maturité, de 1918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aux années 1960-70, âge d'or où cette économie s'inscrivit dans le cadre d'exploitations cynégétiques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fonctionnant en autarcie grâce au travail des gardes-éleveurs; un troisième âge de déclin et d'altération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du sport cynégétique où l'on passa de cette autarcie à un "système Sologne" ouvert, associant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"spéculation sur le droit de chasse / morcellement des exploitations / élevage massif et commercial de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faisans".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Parmi les autres thèses soutenues, deux seront également développées : "Non, la chasse en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Sologne ne faisait pas vivre les Solognots"; "Oui, Paris fut bien le moteur financier d'un processus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d'appropriation et d'orientation économique sans équivalent en Europe".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</w:p>
    <w:p w:rsidR="004D1AA2" w:rsidRPr="002D4C4C" w:rsidRDefault="002D4C4C" w:rsidP="002D4C4C">
      <w:pPr>
        <w:ind w:firstLine="284"/>
        <w:jc w:val="both"/>
        <w:rPr>
          <w:rFonts w:ascii="Garamond" w:hAnsi="Garamond"/>
          <w:sz w:val="28"/>
          <w:szCs w:val="28"/>
        </w:rPr>
      </w:pPr>
      <w:r w:rsidRPr="002D4C4C">
        <w:rPr>
          <w:rFonts w:ascii="Garamond" w:hAnsi="Garamond" w:cs="Times New Roman"/>
          <w:sz w:val="28"/>
          <w:szCs w:val="28"/>
        </w:rPr>
        <w:t>En 1967, il était difficile de prévoir l'avènement d'un quatrième âge bien différent des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précédents, marqué par le développement spectaculaire de la chasse au gros gibier, et par la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reconstitution de très grands domaines. Imprévisibles également la publication de ce travail, encore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moins un épisode qui illustra a posteriori le rôle tenu par Paris dans le processus étudié. L'ouvrage,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bien qu'initialement préfacé par le préfet régional et le recteur Antoine, fut en effet l'objet d'une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censure de deux ans, initiée au plus haut niveau national sur intervention des milieux cynégétiques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solognots les plus influents. Leur crainte, justifiée dans un contexte local tendu : une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  <w:r w:rsidRPr="002D4C4C">
        <w:rPr>
          <w:rFonts w:ascii="Garamond" w:hAnsi="Garamond" w:cs="Times New Roman"/>
          <w:sz w:val="28"/>
          <w:szCs w:val="28"/>
        </w:rPr>
        <w:t>instrumentalisation socio-politique par la presse nationale à laquelle j'ai tenu à m'opposer.</w:t>
      </w:r>
      <w:r w:rsidRPr="002D4C4C">
        <w:rPr>
          <w:rFonts w:ascii="Garamond" w:hAnsi="Garamond" w:cs="Times New Roman"/>
          <w:sz w:val="28"/>
          <w:szCs w:val="28"/>
        </w:rPr>
        <w:t xml:space="preserve"> </w:t>
      </w:r>
    </w:p>
    <w:sectPr w:rsidR="004D1AA2" w:rsidRPr="002D4C4C" w:rsidSect="00E01C99">
      <w:pgSz w:w="11906" w:h="16838"/>
      <w:pgMar w:top="1276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4C"/>
    <w:rsid w:val="002D4C4C"/>
    <w:rsid w:val="00841906"/>
    <w:rsid w:val="00E01C99"/>
    <w:rsid w:val="00E2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34E7-4BB2-4E17-9963-572170E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1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2</cp:revision>
  <cp:lastPrinted>2019-10-29T10:01:00Z</cp:lastPrinted>
  <dcterms:created xsi:type="dcterms:W3CDTF">2019-10-29T09:53:00Z</dcterms:created>
  <dcterms:modified xsi:type="dcterms:W3CDTF">2019-10-29T10:01:00Z</dcterms:modified>
</cp:coreProperties>
</file>